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5355"/>
        <w:gridCol w:w="4080"/>
        <w:gridCol w:w="4590"/>
        <w:tblGridChange w:id="0">
          <w:tblGrid>
            <w:gridCol w:w="5355"/>
            <w:gridCol w:w="4080"/>
            <w:gridCol w:w="4590"/>
          </w:tblGrid>
        </w:tblGridChange>
      </w:tblGrid>
      <w:tr>
        <w:trPr>
          <w:cantSplit w:val="0"/>
          <w:trHeight w:val="672.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267075" cy="1536700"/>
                  <wp:effectExtent b="0" l="0" r="0" t="0"/>
                  <wp:docPr id="33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67075" cy="15367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Micrositio de la Unidad de Igualdad de Género</w:t>
            </w:r>
            <w:r w:rsidDel="00000000" w:rsidR="00000000" w:rsidRPr="00000000">
              <w:rPr>
                <w:rtl w:val="0"/>
              </w:rPr>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Electoral del Estado de México</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Igualdad de Género y Erradicación de la Violencia</w:t>
            </w:r>
          </w:p>
        </w:tc>
      </w:tr>
      <w:tr>
        <w:trPr>
          <w:cantSplit w:val="0"/>
          <w:trHeight w:val="64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https://teemmx.org.mx/micrositio_genero/index.php</w:t>
              </w:r>
            </w:hyperlink>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de la Unidad de Igualdad de Género para la ciudadanía. El micrositio despliega diversos tipos de información sobre igualdad de género, derechos de las mujeres, asuntos jurisdiccionales en materia de género y campañas de prevención de violencia.</w:t>
              <w:br w:type="textWrapping"/>
              <w:t xml:space="preserve">La persona usuaria puede seleccionar y consultar información de interés, visualizar numeralia, estadísticas y acceder a sitios vinculados relacionados con la temática.</w:t>
            </w:r>
          </w:p>
        </w:tc>
      </w:tr>
      <w:tr>
        <w:trPr>
          <w:cantSplit w:val="1"/>
          <w:trHeight w:val="1220.59842519685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Allegar información pública en formatos accesibles y de datos abiertos, mediante medios electrónicos como infografías, videos, estadística, numeralia, cápsulas informativas y campañas de difusión, para que la ciudadanía conozca: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La política transversal con perspectiva de género en la entidad.</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Asuntos jurisdiccionales en materia de género abordados por el Tribunal.</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Derechos humanos de las mujeres y la normatividad aplicable.</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Campañas de igualdad de género y prevención de la violencia.</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El respeto a los derechos humanos y laborales de las personas servidoras públicas.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5">
            <w:pPr>
              <w:ind w:left="141.732283464567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para fortalecer las acciones que lleva a cabo este órgano jurisdiccional, encaminadas a facilitar el acceso a la información relacionada con asuntos jurisdiccionales en los que el Tribunal Electoral aborde temas de género; asimismo, fomentar el ejercicio de los derechos humanos de las mujeres y el respecto a la a igualdad de trato y oportunidades entre mujeres y hombres, así como a la identificación y prevención del hostigamiento sexual, acoso sexual y la violencia en todos sus tipos y modalidades.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7">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29">
      <w:pPr>
        <w:jc w:val="both"/>
        <w:rPr>
          <w:rFonts w:ascii="Palatino Linotype" w:cs="Palatino Linotype" w:eastAsia="Palatino Linotype" w:hAnsi="Palatino Linotype"/>
        </w:rPr>
      </w:pPr>
      <w:bookmarkStart w:colFirst="0" w:colLast="0" w:name="_heading=h.oivcii1jbwzc" w:id="1"/>
      <w:bookmarkEnd w:id="1"/>
      <w:r w:rsidDel="00000000" w:rsidR="00000000" w:rsidRPr="00000000">
        <w:rPr>
          <w:rtl w:val="0"/>
        </w:rPr>
      </w:r>
    </w:p>
    <w:p w:rsidR="00000000" w:rsidDel="00000000" w:rsidP="00000000" w:rsidRDefault="00000000" w:rsidRPr="00000000" w14:paraId="0000002A">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id w:val="-2042129714"/>
        <w:tag w:val="goog_rdk_0"/>
      </w:sdtPr>
      <w:sdtContent>
        <w:tbl>
          <w:tblPr>
            <w:tblStyle w:val="Table3"/>
            <w:tblW w:w="141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1305"/>
            <w:gridCol w:w="3375"/>
            <w:gridCol w:w="5175"/>
            <w:tblGridChange w:id="0">
              <w:tblGrid>
                <w:gridCol w:w="4275"/>
                <w:gridCol w:w="1305"/>
                <w:gridCol w:w="3375"/>
                <w:gridCol w:w="517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311.806640625"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puede ser consultada por todas las personas, en varios formatos de consulta, incluso, a través de medidas de accesibilidad.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054100"/>
                      <wp:effectExtent b="0" l="0" r="0" t="0"/>
                      <wp:docPr id="340"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15277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rPr>
                    <w:rFonts w:ascii="Palatino Linotype" w:cs="Palatino Linotype" w:eastAsia="Palatino Linotype" w:hAnsi="Palatino Linotype"/>
                  </w:rPr>
                </w:pPr>
                <w:r w:rsidDel="00000000" w:rsidR="00000000" w:rsidRPr="00000000">
                  <w:rPr>
                    <w:rtl w:val="0"/>
                  </w:rPr>
                </w:r>
              </w:p>
            </w:tc>
          </w:tr>
          <w:tr>
            <w:trPr>
              <w:cantSplit w:val="0"/>
              <w:trHeight w:val="2614.4531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fidedigna es comprobable en disposiciones normativas y documentos oficiales; asimismo, en ellos se establece el origen y fechas de emisión y publicación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371600"/>
                      <wp:effectExtent b="0" l="0" r="0" t="0"/>
                      <wp:docPr id="32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52775" cy="1371600"/>
                              </a:xfrm>
                              <a:prstGeom prst="rect"/>
                              <a:ln/>
                            </pic:spPr>
                          </pic:pic>
                        </a:graphicData>
                      </a:graphic>
                    </wp:inline>
                  </w:drawing>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49600" cy="1511300"/>
                      <wp:effectExtent b="0" l="0" r="0" t="0"/>
                      <wp:docPr id="32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149600" cy="15113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micrositio de la Unidad de Género es vigente y se actualiza de manera oportuna para la consulta ciudadana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054100"/>
                      <wp:effectExtent b="0" l="0" r="0" t="0"/>
                      <wp:docPr id="333"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152775" cy="1054100"/>
                              </a:xfrm>
                              <a:prstGeom prst="rect"/>
                              <a:ln/>
                            </pic:spPr>
                          </pic:pic>
                        </a:graphicData>
                      </a:graphic>
                    </wp:inline>
                  </w:drawing>
                </w:r>
                <w:r w:rsidDel="00000000" w:rsidR="00000000" w:rsidRPr="00000000">
                  <w:rPr>
                    <w:rtl w:val="0"/>
                  </w:rPr>
                </w:r>
              </w:p>
            </w:tc>
          </w:tr>
          <w:tr>
            <w:trPr>
              <w:cantSplit w:val="1"/>
              <w:trHeight w:val="420.0944881889763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sus fuentes, la información contenida en el micrositio de la Unidad de Género es exacta y puntual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Pr>
                  <w:drawing>
                    <wp:inline distB="114300" distT="114300" distL="114300" distR="114300">
                      <wp:extent cx="3152775" cy="1460500"/>
                      <wp:effectExtent b="0" l="0" r="0" t="0"/>
                      <wp:docPr id="33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152775"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guarda congruencia con la información publicada en cumplimiento a las obligaciones en materia de transparencia de este órgano jurisdiccional, así como con la información generada en otras instituciones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las fuentes que dan origen a la difusión de información.</w:t>
                </w:r>
              </w:p>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Proporciona todos los datos, aspectos, partes o referentes necesarios respecto de la igualdad de género y erradicación de la violencia</w:t>
                </w:r>
                <w:r w:rsidDel="00000000" w:rsidR="00000000" w:rsidRPr="00000000">
                  <w:rPr>
                    <w:rtl w:val="0"/>
                  </w:rPr>
                </w:r>
              </w:p>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397000"/>
                      <wp:effectExtent b="0" l="0" r="0" t="0"/>
                      <wp:docPr id="336"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152775" cy="1397000"/>
                              </a:xfrm>
                              <a:prstGeom prst="rect"/>
                              <a:ln/>
                            </pic:spPr>
                          </pic:pic>
                        </a:graphicData>
                      </a:graphic>
                    </wp:inline>
                  </w:drawing>
                </w:r>
                <w:r w:rsidDel="00000000" w:rsidR="00000000" w:rsidRPr="00000000">
                  <w:rPr>
                    <w:rtl w:val="0"/>
                  </w:rPr>
                </w:r>
              </w:p>
            </w:tc>
          </w:tr>
          <w:tr>
            <w:trPr>
              <w:cantSplit w:val="1"/>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difunde las últimas versiones y actualizaciones derivadas de las acciones y actividades institucionales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524000"/>
                      <wp:effectExtent b="0" l="0" r="0" t="0"/>
                      <wp:docPr id="32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152775" cy="15240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información contenida en el micrositio de la Unidad de Género puede ser consultada por todas las personas, en varios formatos de consulta (Word, PDF, txt), incluyendo medios visuales y auditivos, incluso, a través de medidas de accesibilidad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927100"/>
                      <wp:effectExtent b="0" l="0" r="0" t="0"/>
                      <wp:docPr id="341"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152775" cy="9271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358900"/>
                      <wp:effectExtent b="0" l="0" r="0" t="0"/>
                      <wp:docPr id="33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152775" cy="1358900"/>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ind w:left="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Permite generar estadística, así como analizar mecanismos que permitan obtener un mayor impacto y cobertura en la población objetivo</w:t>
                </w:r>
                <w:r w:rsidDel="00000000" w:rsidR="00000000" w:rsidRPr="00000000">
                  <w:rPr>
                    <w:rtl w:val="0"/>
                  </w:rPr>
                </w:r>
              </w:p>
              <w:p w:rsidR="00000000" w:rsidDel="00000000" w:rsidP="00000000" w:rsidRDefault="00000000" w:rsidRPr="00000000" w14:paraId="00000081">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143000"/>
                      <wp:effectExtent b="0" l="0" r="0" t="0"/>
                      <wp:docPr id="33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1527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549400"/>
                      <wp:effectExtent b="0" l="0" r="0" t="0"/>
                      <wp:docPr id="33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152775" cy="1549400"/>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un buzón de quejas y sugerencias  que  busca tener un mayor impacto y cobertura en la población objetivo, así como mejorar la atención por parte de este sujeto obligado.</w:t>
                </w:r>
              </w:p>
              <w:p w:rsidR="00000000" w:rsidDel="00000000" w:rsidP="00000000" w:rsidRDefault="00000000" w:rsidRPr="00000000" w14:paraId="0000008F">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2247900"/>
                      <wp:effectExtent b="0" l="0" r="0" t="0"/>
                      <wp:docPr id="33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1527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5635.16516113281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numPr>
                    <w:ilvl w:val="0"/>
                    <w:numId w:val="2"/>
                  </w:numPr>
                  <w:spacing w:after="0" w:lineRule="auto"/>
                  <w:ind w:hanging="360"/>
                  <w:jc w:val="both"/>
                  <w:rPr>
                    <w:rFonts w:ascii="Palatino Linotype" w:cs="Palatino Linotype" w:eastAsia="Palatino Linotype" w:hAnsi="Palatino Linotype"/>
                  </w:rPr>
                </w:pPr>
                <w:bookmarkStart w:colFirst="0" w:colLast="0" w:name="_heading=h.8sehcixm1i5u" w:id="3"/>
                <w:bookmarkEnd w:id="3"/>
                <w:r w:rsidDel="00000000" w:rsidR="00000000" w:rsidRPr="00000000">
                  <w:rPr>
                    <w:rFonts w:ascii="Palatino Linotype" w:cs="Palatino Linotype" w:eastAsia="Palatino Linotype" w:hAnsi="Palatino Linotype"/>
                    <w:rtl w:val="0"/>
                  </w:rPr>
                  <w:t xml:space="preserve">Disminución de la asimetría de la información relativa a fomentar el ejercicio de los derechos humanos de las mujeres.</w:t>
                </w:r>
              </w:p>
              <w:p w:rsidR="00000000" w:rsidDel="00000000" w:rsidP="00000000" w:rsidRDefault="00000000" w:rsidRPr="00000000" w14:paraId="0000009A">
                <w:pPr>
                  <w:numPr>
                    <w:ilvl w:val="0"/>
                    <w:numId w:val="2"/>
                  </w:numPr>
                  <w:spacing w:after="0" w:lineRule="auto"/>
                  <w:ind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Facilitar el acceso a la información relacionada con asuntos jurisdiccionales en los que el Tribunal aborde temas de género.</w:t>
                </w:r>
              </w:p>
              <w:p w:rsidR="00000000" w:rsidDel="00000000" w:rsidP="00000000" w:rsidRDefault="00000000" w:rsidRPr="00000000" w14:paraId="0000009B">
                <w:pPr>
                  <w:numPr>
                    <w:ilvl w:val="0"/>
                    <w:numId w:val="2"/>
                  </w:numPr>
                  <w:spacing w:after="0" w:lineRule="auto"/>
                  <w:ind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Promover la prevención y erradicación de la violencia.</w:t>
                </w:r>
              </w:p>
              <w:p w:rsidR="00000000" w:rsidDel="00000000" w:rsidP="00000000" w:rsidRDefault="00000000" w:rsidRPr="00000000" w14:paraId="0000009C">
                <w:pPr>
                  <w:numPr>
                    <w:ilvl w:val="0"/>
                    <w:numId w:val="2"/>
                  </w:numPr>
                  <w:ind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Contacto inmediato para informar sobre campañas en materia de igualdad de género, así como de prevención de la violencia.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2775" cy="1041400"/>
                      <wp:effectExtent b="0" l="0" r="0" t="0"/>
                      <wp:docPr id="32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5277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medios impresos y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72637" cy="1734503"/>
                      <wp:effectExtent b="0" l="0" r="0" t="0"/>
                      <wp:docPr id="33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072637" cy="173450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58302" cy="1981582"/>
                      <wp:effectExtent b="0" l="0" r="0" t="0"/>
                      <wp:docPr id="32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658302" cy="1981582"/>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8">
      <w:pPr>
        <w:spacing w:after="240" w:line="276" w:lineRule="auto"/>
        <w:ind w:left="-708" w:firstLine="0"/>
        <w:rPr>
          <w:rFonts w:ascii="Palatino Linotype" w:cs="Palatino Linotype" w:eastAsia="Palatino Linotype" w:hAnsi="Palatino Linotype"/>
          <w:b w:val="1"/>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A9">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2"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3"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-1094419</wp:posOffset>
          </wp:positionH>
          <wp:positionV relativeFrom="paragraph">
            <wp:posOffset>-85723</wp:posOffset>
          </wp:positionV>
          <wp:extent cx="10086023" cy="7639050"/>
          <wp:effectExtent b="0" l="0" r="0" t="0"/>
          <wp:wrapNone/>
          <wp:docPr descr="Imagen que contiene Gráfico de superficie&#10;&#10;Descripción generada automáticamente" id="331"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10086023" cy="7639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3.png"/><Relationship Id="rId21" Type="http://schemas.openxmlformats.org/officeDocument/2006/relationships/image" Target="media/image3.png"/><Relationship Id="rId24" Type="http://schemas.openxmlformats.org/officeDocument/2006/relationships/header" Target="header1.xm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teemmx.org.mx/micrositio_genero/index.php" TargetMode="External"/><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17.png"/><Relationship Id="rId15" Type="http://schemas.openxmlformats.org/officeDocument/2006/relationships/image" Target="media/image12.png"/><Relationship Id="rId14" Type="http://schemas.openxmlformats.org/officeDocument/2006/relationships/image" Target="media/image15.png"/><Relationship Id="rId17" Type="http://schemas.openxmlformats.org/officeDocument/2006/relationships/image" Target="media/image11.png"/><Relationship Id="rId16" Type="http://schemas.openxmlformats.org/officeDocument/2006/relationships/image" Target="media/image16.png"/><Relationship Id="rId19" Type="http://schemas.openxmlformats.org/officeDocument/2006/relationships/image" Target="media/image18.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seMSyOY1js3NR//taEXVi5SBw==">CgMxLjAaHwoBMBIaChgICVIUChJ0YWJsZS5qMDB4b240cnAyMm4yCWguMzBqMHpsbDIOaC5vaXZjaWkxamJ3emMyDmgueTJmZG5ib2Z0aDI5Mg5oLjhzZWhjaXhtMWk1dTIOaC51eWUwM3pyMG5jbXU4AHIhMThRSDZnTWV6V1V0b1NsRTNzTWhNNE5DRnhsR0RCVThw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